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977CB9" w:rsidP="00CF1133">
      <w:pPr>
        <w:ind w:left="-710" w:firstLine="695"/>
        <w:rPr>
          <w:b/>
          <w:bCs/>
        </w:rPr>
      </w:pPr>
    </w:p>
    <w:p w:rsidR="00CF1133" w:rsidRDefault="0048299B" w:rsidP="00CF1133">
      <w:pPr>
        <w:ind w:left="-710" w:firstLine="695"/>
      </w:pPr>
      <w:r>
        <w:rPr>
          <w:b/>
          <w:bCs/>
        </w:rPr>
        <w:t xml:space="preserve">Lancashire Enterprise Partnership Limited  </w:t>
      </w:r>
    </w:p>
    <w:p w:rsidR="00CF1133" w:rsidRPr="00BC4466" w:rsidRDefault="0048299B" w:rsidP="00CF1133">
      <w:pPr>
        <w:spacing w:after="0" w:line="256" w:lineRule="auto"/>
        <w:ind w:left="0" w:firstLine="0"/>
        <w:rPr>
          <w:b/>
          <w:bCs/>
        </w:rPr>
      </w:pPr>
      <w:r w:rsidRPr="00BC4466">
        <w:rPr>
          <w:b/>
          <w:bCs/>
        </w:rPr>
        <w:t xml:space="preserve"> </w:t>
      </w:r>
    </w:p>
    <w:p w:rsidR="00BC4466" w:rsidRPr="00BC4466" w:rsidRDefault="0048299B" w:rsidP="00CF1133">
      <w:pPr>
        <w:spacing w:after="0" w:line="256" w:lineRule="auto"/>
        <w:ind w:left="0" w:firstLine="0"/>
        <w:rPr>
          <w:b/>
          <w:bCs/>
        </w:rPr>
      </w:pPr>
      <w:r w:rsidRPr="00BC4466">
        <w:rPr>
          <w:b/>
        </w:rPr>
        <w:t xml:space="preserve">Private and Confidential: </w:t>
      </w:r>
      <w:r>
        <w:rPr>
          <w:b/>
        </w:rPr>
        <w:t>NO</w:t>
      </w:r>
    </w:p>
    <w:p w:rsidR="00BC4466" w:rsidRDefault="00977CB9" w:rsidP="00CF1133">
      <w:pPr>
        <w:spacing w:after="0" w:line="256" w:lineRule="auto"/>
        <w:ind w:left="0" w:firstLine="0"/>
      </w:pPr>
    </w:p>
    <w:p w:rsidR="00A3358A" w:rsidRDefault="0048299B" w:rsidP="00A3358A">
      <w:r w:rsidRPr="005D0C06">
        <w:rPr>
          <w:b/>
        </w:rPr>
        <w:t>Date:</w:t>
      </w:r>
      <w:r>
        <w:t xml:space="preserve"> </w:t>
      </w:r>
      <w:r>
        <w:fldChar w:fldCharType="begin"/>
      </w:r>
      <w:r>
        <w:instrText xml:space="preserve"> DOCPROPERTY  MeetingDate  \* MERGEFORMAT </w:instrText>
      </w:r>
      <w:r>
        <w:fldChar w:fldCharType="separate"/>
      </w:r>
      <w:r>
        <w:t>Wednesday, 1 May 2019</w:t>
      </w:r>
      <w:r>
        <w:fldChar w:fldCharType="end"/>
      </w:r>
    </w:p>
    <w:p w:rsidR="00A3358A" w:rsidRDefault="00977CB9" w:rsidP="00A3358A"/>
    <w:p w:rsidR="00A3358A" w:rsidRDefault="0048299B"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Response to the Annual Performance Review: LEP Strategy Improvement Plan</w:t>
      </w:r>
      <w:r>
        <w:rPr>
          <w:rFonts w:eastAsia="Times New Roman" w:cs="Times New Roman"/>
          <w:b/>
          <w:color w:val="auto"/>
          <w:szCs w:val="20"/>
        </w:rPr>
        <w:fldChar w:fldCharType="end"/>
      </w:r>
    </w:p>
    <w:p w:rsidR="00A3358A" w:rsidRDefault="0048299B" w:rsidP="00A3358A">
      <w:pPr>
        <w:ind w:left="0" w:firstLine="0"/>
      </w:pPr>
      <w:r>
        <w:t>(Appendices '1', '2' and '3' refer)</w:t>
      </w:r>
    </w:p>
    <w:p w:rsidR="00D7480F" w:rsidRDefault="00977CB9" w:rsidP="00CF1133">
      <w:pPr>
        <w:spacing w:after="0" w:line="256" w:lineRule="auto"/>
        <w:ind w:left="0" w:firstLine="0"/>
      </w:pPr>
    </w:p>
    <w:p w:rsidR="00F41096" w:rsidRPr="00F41096" w:rsidRDefault="0048299B"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Richard Kenny</w:t>
      </w:r>
      <w:r>
        <w:rPr>
          <w:b/>
        </w:rPr>
        <w:fldChar w:fldCharType="end"/>
      </w:r>
      <w:r>
        <w:rPr>
          <w:b/>
        </w:rPr>
        <w:t>, 01772 535375</w:t>
      </w:r>
      <w:r w:rsidRPr="00F41096">
        <w:rPr>
          <w:b/>
        </w:rPr>
        <w:t xml:space="preserve">, </w:t>
      </w:r>
    </w:p>
    <w:p w:rsidR="00F41096" w:rsidRPr="00F41096" w:rsidRDefault="0048299B" w:rsidP="00F41096">
      <w:pPr>
        <w:ind w:right="-873"/>
        <w:rPr>
          <w:b/>
        </w:rPr>
      </w:pPr>
      <w:r>
        <w:rPr>
          <w:b/>
        </w:rPr>
        <w:fldChar w:fldCharType="begin"/>
      </w:r>
      <w:r>
        <w:rPr>
          <w:b/>
        </w:rPr>
        <w:instrText xml:space="preserve"> DOCPROPERTY  LeadOfficerEmail  \* MERGEFORMAT </w:instrText>
      </w:r>
      <w:r>
        <w:rPr>
          <w:b/>
        </w:rPr>
        <w:fldChar w:fldCharType="separate"/>
      </w:r>
      <w:r>
        <w:rPr>
          <w:b/>
        </w:rPr>
        <w:t>richard.kenny@lancashire.gov.uk</w:t>
      </w:r>
      <w:r>
        <w:rPr>
          <w:b/>
        </w:rPr>
        <w:fldChar w:fldCharType="end"/>
      </w:r>
    </w:p>
    <w:p w:rsidR="00F95C8B" w:rsidRPr="00977CB9" w:rsidRDefault="0048299B" w:rsidP="00977CB9">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2245A" w:rsidTr="00841251">
        <w:tc>
          <w:tcPr>
            <w:tcW w:w="9180" w:type="dxa"/>
          </w:tcPr>
          <w:p w:rsidR="00F95C8B" w:rsidRDefault="00977CB9" w:rsidP="00841251">
            <w:pPr>
              <w:pStyle w:val="Header"/>
            </w:pPr>
          </w:p>
          <w:p w:rsidR="00F95C8B" w:rsidRPr="00F95C8B" w:rsidRDefault="0048299B" w:rsidP="00841251">
            <w:pPr>
              <w:pStyle w:val="Heading6"/>
              <w:rPr>
                <w:rFonts w:ascii="Arial" w:hAnsi="Arial"/>
                <w:b/>
                <w:color w:val="auto"/>
              </w:rPr>
            </w:pPr>
            <w:r w:rsidRPr="00F95C8B">
              <w:rPr>
                <w:rFonts w:ascii="Arial" w:hAnsi="Arial"/>
                <w:b/>
                <w:color w:val="auto"/>
              </w:rPr>
              <w:t>Executive Summary</w:t>
            </w:r>
          </w:p>
          <w:p w:rsidR="00F95C8B" w:rsidRPr="00F95C8B" w:rsidRDefault="00977CB9" w:rsidP="00841251">
            <w:pPr>
              <w:rPr>
                <w:color w:val="auto"/>
              </w:rPr>
            </w:pPr>
          </w:p>
          <w:p w:rsidR="00F95C8B" w:rsidRPr="00F95C8B" w:rsidRDefault="0048299B" w:rsidP="00977CB9">
            <w:pPr>
              <w:ind w:left="0" w:firstLine="0"/>
              <w:jc w:val="both"/>
              <w:rPr>
                <w:color w:val="auto"/>
              </w:rPr>
            </w:pPr>
            <w:r>
              <w:rPr>
                <w:color w:val="auto"/>
              </w:rPr>
              <w:t xml:space="preserve">This report provides an update on the Government's Annual Performance Review of the Lancashire Enterprise Partnership 2018/19. It seeks formal ratification from the Board of a LEP Improvement Plan for Strategy in response to the requirements set out by Central Government. </w:t>
            </w:r>
          </w:p>
          <w:p w:rsidR="00F95C8B" w:rsidRPr="00F95C8B" w:rsidRDefault="00977CB9" w:rsidP="00977CB9">
            <w:pPr>
              <w:jc w:val="both"/>
              <w:rPr>
                <w:color w:val="auto"/>
              </w:rPr>
            </w:pPr>
          </w:p>
          <w:p w:rsidR="00F95C8B" w:rsidRPr="00F95C8B" w:rsidRDefault="0048299B" w:rsidP="00977CB9">
            <w:pPr>
              <w:pStyle w:val="Heading5"/>
              <w:jc w:val="both"/>
              <w:rPr>
                <w:rFonts w:ascii="Arial" w:hAnsi="Arial"/>
                <w:b/>
                <w:color w:val="auto"/>
              </w:rPr>
            </w:pPr>
            <w:r w:rsidRPr="00F95C8B">
              <w:rPr>
                <w:rFonts w:ascii="Arial" w:hAnsi="Arial"/>
                <w:b/>
                <w:color w:val="auto"/>
              </w:rPr>
              <w:t>Recommendation</w:t>
            </w:r>
          </w:p>
          <w:p w:rsidR="00F95C8B" w:rsidRPr="00F95C8B" w:rsidRDefault="00977CB9" w:rsidP="00977CB9">
            <w:pPr>
              <w:jc w:val="both"/>
              <w:rPr>
                <w:color w:val="auto"/>
              </w:rPr>
            </w:pPr>
          </w:p>
          <w:p w:rsidR="00E65E56" w:rsidRDefault="0048299B" w:rsidP="00977CB9">
            <w:pPr>
              <w:jc w:val="both"/>
              <w:rPr>
                <w:color w:val="auto"/>
              </w:rPr>
            </w:pPr>
            <w:r>
              <w:rPr>
                <w:color w:val="auto"/>
              </w:rPr>
              <w:t xml:space="preserve">The </w:t>
            </w:r>
            <w:r w:rsidR="00977CB9">
              <w:rPr>
                <w:color w:val="auto"/>
              </w:rPr>
              <w:t xml:space="preserve">Lancashire Enterprise Partnership </w:t>
            </w:r>
            <w:r>
              <w:rPr>
                <w:color w:val="auto"/>
              </w:rPr>
              <w:t>Board is asked to:</w:t>
            </w:r>
          </w:p>
          <w:p w:rsidR="00E65E56" w:rsidRDefault="00977CB9" w:rsidP="00977CB9">
            <w:pPr>
              <w:jc w:val="both"/>
              <w:rPr>
                <w:color w:val="auto"/>
              </w:rPr>
            </w:pPr>
          </w:p>
          <w:p w:rsidR="00977CB9" w:rsidRPr="00977CB9" w:rsidRDefault="0048299B" w:rsidP="00977CB9">
            <w:pPr>
              <w:pStyle w:val="ListParagraph"/>
              <w:numPr>
                <w:ilvl w:val="0"/>
                <w:numId w:val="4"/>
              </w:numPr>
              <w:jc w:val="both"/>
            </w:pPr>
            <w:r w:rsidRPr="00977CB9">
              <w:rPr>
                <w:color w:val="auto"/>
              </w:rPr>
              <w:t>Note the national performance assessment of La</w:t>
            </w:r>
            <w:r w:rsidR="00977CB9">
              <w:rPr>
                <w:color w:val="auto"/>
              </w:rPr>
              <w:t>ncashire Enterprise Partnership.</w:t>
            </w:r>
          </w:p>
          <w:p w:rsidR="00977CB9" w:rsidRPr="00977CB9" w:rsidRDefault="00977CB9" w:rsidP="00977CB9">
            <w:pPr>
              <w:pStyle w:val="ListParagraph"/>
              <w:ind w:firstLine="0"/>
              <w:jc w:val="both"/>
            </w:pPr>
            <w:bookmarkStart w:id="0" w:name="_GoBack"/>
            <w:bookmarkEnd w:id="0"/>
          </w:p>
          <w:p w:rsidR="00E65E56" w:rsidRDefault="0048299B" w:rsidP="00977CB9">
            <w:pPr>
              <w:pStyle w:val="ListParagraph"/>
              <w:numPr>
                <w:ilvl w:val="0"/>
                <w:numId w:val="4"/>
              </w:numPr>
              <w:jc w:val="both"/>
            </w:pPr>
            <w:r>
              <w:t>Note the urgent response that was required from the Interim Chair and Interim Chief Executive to the request from Central Government for a plan to be put in place;</w:t>
            </w:r>
            <w:r w:rsidR="00977CB9">
              <w:t xml:space="preserve"> and</w:t>
            </w:r>
          </w:p>
          <w:p w:rsidR="00977CB9" w:rsidRDefault="00977CB9" w:rsidP="00977CB9">
            <w:pPr>
              <w:jc w:val="both"/>
            </w:pPr>
          </w:p>
          <w:p w:rsidR="00F95C8B" w:rsidRPr="00F95C8B" w:rsidRDefault="0048299B" w:rsidP="00977CB9">
            <w:pPr>
              <w:pStyle w:val="ListParagraph"/>
              <w:numPr>
                <w:ilvl w:val="0"/>
                <w:numId w:val="4"/>
              </w:numPr>
              <w:jc w:val="both"/>
              <w:rPr>
                <w:color w:val="auto"/>
              </w:rPr>
            </w:pPr>
            <w:r>
              <w:t xml:space="preserve">Approve the Strategy Improvement </w:t>
            </w:r>
            <w:r w:rsidR="00977CB9">
              <w:t>Plan, as set out in Appendix '1'</w:t>
            </w:r>
            <w:r>
              <w:t>.</w:t>
            </w:r>
          </w:p>
          <w:p w:rsidR="00F95C8B" w:rsidRDefault="00977CB9" w:rsidP="00841251"/>
        </w:tc>
      </w:tr>
    </w:tbl>
    <w:p w:rsidR="00A3358A" w:rsidRDefault="00977CB9" w:rsidP="00CF1133">
      <w:pPr>
        <w:spacing w:after="0" w:line="256" w:lineRule="auto"/>
        <w:ind w:left="0" w:firstLine="0"/>
      </w:pPr>
    </w:p>
    <w:p w:rsidR="00A3358A" w:rsidRDefault="0048299B" w:rsidP="00A3358A">
      <w:pPr>
        <w:rPr>
          <w:b/>
        </w:rPr>
      </w:pPr>
      <w:r>
        <w:rPr>
          <w:b/>
        </w:rPr>
        <w:t xml:space="preserve">Background and Advice </w:t>
      </w:r>
    </w:p>
    <w:p w:rsidR="00A3358A" w:rsidRDefault="00977CB9" w:rsidP="00A3358A">
      <w:pPr>
        <w:rPr>
          <w:b/>
        </w:rPr>
      </w:pPr>
    </w:p>
    <w:p w:rsidR="00E65E56" w:rsidRDefault="0048299B" w:rsidP="00977CB9">
      <w:pPr>
        <w:jc w:val="both"/>
      </w:pPr>
      <w:r>
        <w:t>As part of the national framework and LEP business planning cycle, the 'annual</w:t>
      </w:r>
    </w:p>
    <w:p w:rsidR="00E65E56" w:rsidRDefault="0048299B" w:rsidP="00977CB9">
      <w:pPr>
        <w:jc w:val="both"/>
      </w:pPr>
      <w:proofErr w:type="gramStart"/>
      <w:r>
        <w:t>conversation</w:t>
      </w:r>
      <w:proofErr w:type="gramEnd"/>
      <w:r>
        <w:t>' took place in Lancashire on the 10</w:t>
      </w:r>
      <w:r w:rsidRPr="006D342B">
        <w:rPr>
          <w:vertAlign w:val="superscript"/>
        </w:rPr>
        <w:t>th</w:t>
      </w:r>
      <w:r>
        <w:t xml:space="preserve"> December 2018, minutes are</w:t>
      </w:r>
    </w:p>
    <w:p w:rsidR="00E65E56" w:rsidRDefault="0048299B" w:rsidP="00977CB9">
      <w:pPr>
        <w:jc w:val="both"/>
      </w:pPr>
      <w:proofErr w:type="gramStart"/>
      <w:r>
        <w:t>attached</w:t>
      </w:r>
      <w:proofErr w:type="gramEnd"/>
      <w:r>
        <w:t xml:space="preserve"> at Appendix </w:t>
      </w:r>
      <w:r w:rsidR="00977CB9">
        <w:t>'</w:t>
      </w:r>
      <w:r>
        <w:t>3</w:t>
      </w:r>
      <w:r w:rsidR="00977CB9">
        <w:t>'</w:t>
      </w:r>
      <w:r>
        <w:t xml:space="preserve">. </w:t>
      </w:r>
    </w:p>
    <w:p w:rsidR="00E65E56" w:rsidRDefault="00977CB9" w:rsidP="00977CB9">
      <w:pPr>
        <w:jc w:val="both"/>
      </w:pPr>
    </w:p>
    <w:p w:rsidR="00E65E56" w:rsidRDefault="0048299B" w:rsidP="00977CB9">
      <w:pPr>
        <w:jc w:val="both"/>
      </w:pPr>
      <w:r>
        <w:t>On the 11</w:t>
      </w:r>
      <w:r w:rsidRPr="00977CB9">
        <w:rPr>
          <w:vertAlign w:val="superscript"/>
        </w:rPr>
        <w:t>th</w:t>
      </w:r>
      <w:r>
        <w:t xml:space="preserve"> March, 2019 the Director, Cities and Local Growth Unit wrote on behalf</w:t>
      </w:r>
    </w:p>
    <w:p w:rsidR="00E65E56" w:rsidRDefault="0048299B" w:rsidP="00977CB9">
      <w:pPr>
        <w:jc w:val="both"/>
      </w:pPr>
      <w:r>
        <w:t>of Department for Business, Energy &amp; Industrial Strategy and Ministry of Housing,</w:t>
      </w:r>
    </w:p>
    <w:p w:rsidR="00E65E56" w:rsidRDefault="0048299B" w:rsidP="00977CB9">
      <w:pPr>
        <w:jc w:val="both"/>
      </w:pPr>
      <w:r>
        <w:t>Communities &amp; Local Government to set out this year’s performance, letter also</w:t>
      </w:r>
    </w:p>
    <w:p w:rsidR="00E65E56" w:rsidRDefault="0048299B" w:rsidP="00977CB9">
      <w:pPr>
        <w:jc w:val="both"/>
      </w:pPr>
      <w:proofErr w:type="gramStart"/>
      <w:r>
        <w:t>attached</w:t>
      </w:r>
      <w:proofErr w:type="gramEnd"/>
      <w:r>
        <w:t xml:space="preserve"> at Appendix </w:t>
      </w:r>
      <w:r w:rsidR="00977CB9">
        <w:t>'</w:t>
      </w:r>
      <w:r>
        <w:t>2</w:t>
      </w:r>
      <w:r w:rsidR="00977CB9">
        <w:t>'</w:t>
      </w:r>
      <w:r>
        <w:t>.</w:t>
      </w:r>
    </w:p>
    <w:p w:rsidR="00E65E56" w:rsidRDefault="00977CB9" w:rsidP="00977CB9">
      <w:pPr>
        <w:jc w:val="both"/>
      </w:pPr>
    </w:p>
    <w:p w:rsidR="00E65E56" w:rsidRDefault="0048299B" w:rsidP="00977CB9">
      <w:pPr>
        <w:jc w:val="both"/>
      </w:pPr>
      <w:r>
        <w:t xml:space="preserve">In summary the performance outcome was: </w:t>
      </w:r>
    </w:p>
    <w:p w:rsidR="00E65E56" w:rsidRDefault="00977CB9" w:rsidP="00977CB9">
      <w:pPr>
        <w:jc w:val="both"/>
      </w:pPr>
    </w:p>
    <w:p w:rsidR="00E65E56" w:rsidRDefault="0048299B" w:rsidP="00977CB9">
      <w:pPr>
        <w:pStyle w:val="ListParagraph"/>
        <w:numPr>
          <w:ilvl w:val="0"/>
          <w:numId w:val="5"/>
        </w:numPr>
        <w:jc w:val="both"/>
      </w:pPr>
      <w:r>
        <w:t>Governance, as Good;</w:t>
      </w:r>
    </w:p>
    <w:p w:rsidR="00E65E56" w:rsidRDefault="0048299B" w:rsidP="00977CB9">
      <w:pPr>
        <w:pStyle w:val="ListParagraph"/>
        <w:numPr>
          <w:ilvl w:val="0"/>
          <w:numId w:val="5"/>
        </w:numPr>
        <w:jc w:val="both"/>
      </w:pPr>
      <w:r>
        <w:t>Delivery as Good;</w:t>
      </w:r>
    </w:p>
    <w:p w:rsidR="00E65E56" w:rsidRDefault="0048299B" w:rsidP="00977CB9">
      <w:pPr>
        <w:pStyle w:val="ListParagraph"/>
        <w:numPr>
          <w:ilvl w:val="0"/>
          <w:numId w:val="5"/>
        </w:numPr>
        <w:jc w:val="both"/>
      </w:pPr>
      <w:r>
        <w:t xml:space="preserve">Strategy as Requiring Improvement. </w:t>
      </w:r>
    </w:p>
    <w:p w:rsidR="00E65E56" w:rsidRDefault="00977CB9" w:rsidP="00977CB9">
      <w:pPr>
        <w:jc w:val="both"/>
      </w:pPr>
    </w:p>
    <w:p w:rsidR="00E65E56" w:rsidRDefault="0048299B" w:rsidP="00977CB9">
      <w:pPr>
        <w:jc w:val="both"/>
        <w:rPr>
          <w:b/>
        </w:rPr>
      </w:pPr>
      <w:r>
        <w:rPr>
          <w:b/>
        </w:rPr>
        <w:t>Improvement Plan</w:t>
      </w:r>
    </w:p>
    <w:p w:rsidR="00E65E56" w:rsidRDefault="00977CB9" w:rsidP="00977CB9">
      <w:pPr>
        <w:jc w:val="both"/>
        <w:rPr>
          <w:b/>
        </w:rPr>
      </w:pPr>
    </w:p>
    <w:p w:rsidR="00E65E56" w:rsidRDefault="0048299B" w:rsidP="00977CB9">
      <w:pPr>
        <w:ind w:left="0" w:firstLine="0"/>
        <w:jc w:val="both"/>
      </w:pPr>
      <w:r>
        <w:t xml:space="preserve">After further discussion with local ‘officials’ it was expected that there would be a requirement to produce an action plan to address the deficit in the performance on Strategy. </w:t>
      </w:r>
    </w:p>
    <w:p w:rsidR="00E65E56" w:rsidRDefault="00977CB9" w:rsidP="00977CB9">
      <w:pPr>
        <w:ind w:left="0" w:firstLine="0"/>
        <w:jc w:val="both"/>
      </w:pPr>
    </w:p>
    <w:p w:rsidR="00E65E56" w:rsidRDefault="0048299B" w:rsidP="00977CB9">
      <w:pPr>
        <w:ind w:left="0" w:firstLine="0"/>
        <w:jc w:val="both"/>
      </w:pPr>
      <w:r>
        <w:t>On the 8</w:t>
      </w:r>
      <w:r w:rsidRPr="00776488">
        <w:rPr>
          <w:vertAlign w:val="superscript"/>
        </w:rPr>
        <w:t>TH</w:t>
      </w:r>
      <w:r>
        <w:t xml:space="preserve"> April ‘officials’ informed Local Enterprise Partnerships that these action plans urgently needed to be put in place by the 12</w:t>
      </w:r>
      <w:r w:rsidRPr="00776488">
        <w:rPr>
          <w:vertAlign w:val="superscript"/>
        </w:rPr>
        <w:t>th</w:t>
      </w:r>
      <w:r>
        <w:t xml:space="preserve"> April. This was to enable these plans to fit in with the timetabling of the Public Accounts Committee and a planned session with Local Enterprise Partnerships. </w:t>
      </w:r>
    </w:p>
    <w:p w:rsidR="00E65E56" w:rsidRDefault="00977CB9" w:rsidP="00977CB9">
      <w:pPr>
        <w:ind w:left="0" w:firstLine="0"/>
        <w:jc w:val="both"/>
      </w:pPr>
    </w:p>
    <w:p w:rsidR="00E65E56" w:rsidRDefault="0048299B" w:rsidP="00977CB9">
      <w:pPr>
        <w:ind w:left="0" w:firstLine="0"/>
        <w:jc w:val="both"/>
      </w:pPr>
      <w:r>
        <w:t xml:space="preserve">A plan has been produced at short notice to provide a response. </w:t>
      </w:r>
    </w:p>
    <w:p w:rsidR="00E65E56" w:rsidRDefault="00977CB9" w:rsidP="00977CB9">
      <w:pPr>
        <w:ind w:left="0" w:firstLine="0"/>
        <w:jc w:val="both"/>
      </w:pPr>
    </w:p>
    <w:p w:rsidR="00E65E56" w:rsidRDefault="0048299B" w:rsidP="00977CB9">
      <w:pPr>
        <w:ind w:left="0" w:firstLine="0"/>
        <w:jc w:val="both"/>
      </w:pPr>
      <w:r>
        <w:t xml:space="preserve">This Strategy Improvement Plan is set out in Appendix </w:t>
      </w:r>
      <w:r w:rsidR="00977CB9">
        <w:t>'</w:t>
      </w:r>
      <w:r>
        <w:t>1</w:t>
      </w:r>
      <w:r w:rsidR="00977CB9">
        <w:t>'</w:t>
      </w:r>
      <w:r>
        <w:t xml:space="preserve">. </w:t>
      </w:r>
    </w:p>
    <w:p w:rsidR="00E65E56" w:rsidRDefault="00977CB9" w:rsidP="00977CB9">
      <w:pPr>
        <w:ind w:left="0" w:firstLine="0"/>
        <w:jc w:val="both"/>
      </w:pPr>
    </w:p>
    <w:p w:rsidR="00845101" w:rsidRDefault="0048299B" w:rsidP="00977CB9">
      <w:pPr>
        <w:ind w:left="0" w:firstLine="0"/>
        <w:jc w:val="both"/>
      </w:pPr>
      <w:r>
        <w:t xml:space="preserve">In short, the Plan includes the following commitments, with actions set out to achieve them: </w:t>
      </w:r>
    </w:p>
    <w:p w:rsidR="00E65E56" w:rsidRDefault="00977CB9" w:rsidP="00977CB9">
      <w:pPr>
        <w:ind w:left="0" w:firstLine="0"/>
        <w:jc w:val="both"/>
      </w:pPr>
    </w:p>
    <w:tbl>
      <w:tblPr>
        <w:tblStyle w:val="TableGrid"/>
        <w:tblW w:w="5000" w:type="pct"/>
        <w:tblLook w:val="04A0" w:firstRow="1" w:lastRow="0" w:firstColumn="1" w:lastColumn="0" w:noHBand="0" w:noVBand="1"/>
      </w:tblPr>
      <w:tblGrid>
        <w:gridCol w:w="9016"/>
      </w:tblGrid>
      <w:tr w:rsidR="0072245A" w:rsidTr="00DD0281">
        <w:tc>
          <w:tcPr>
            <w:tcW w:w="811" w:type="pct"/>
            <w:tcBorders>
              <w:top w:val="single" w:sz="4" w:space="0" w:color="auto"/>
              <w:left w:val="single" w:sz="4" w:space="0" w:color="auto"/>
              <w:bottom w:val="single" w:sz="4" w:space="0" w:color="auto"/>
              <w:right w:val="single" w:sz="4" w:space="0" w:color="auto"/>
            </w:tcBorders>
            <w:hideMark/>
          </w:tcPr>
          <w:p w:rsidR="00E65E56" w:rsidRPr="00977CB9" w:rsidRDefault="0048299B" w:rsidP="00E65E56">
            <w:pPr>
              <w:pStyle w:val="ListParagraph"/>
              <w:numPr>
                <w:ilvl w:val="0"/>
                <w:numId w:val="6"/>
              </w:numPr>
              <w:tabs>
                <w:tab w:val="left" w:pos="720"/>
              </w:tabs>
              <w:spacing w:after="0" w:line="240" w:lineRule="auto"/>
              <w:contextualSpacing w:val="0"/>
              <w:rPr>
                <w:rFonts w:eastAsia="Times New Roman"/>
                <w:color w:val="auto"/>
                <w:sz w:val="16"/>
                <w:szCs w:val="16"/>
              </w:rPr>
            </w:pPr>
            <w:r w:rsidRPr="00977CB9">
              <w:rPr>
                <w:sz w:val="16"/>
                <w:szCs w:val="16"/>
              </w:rPr>
              <w:t>We will provide strong, stable and diverse leadership</w:t>
            </w:r>
          </w:p>
        </w:tc>
      </w:tr>
      <w:tr w:rsidR="0072245A" w:rsidTr="00DD0281">
        <w:tc>
          <w:tcPr>
            <w:tcW w:w="811" w:type="pct"/>
            <w:tcBorders>
              <w:top w:val="single" w:sz="4" w:space="0" w:color="auto"/>
              <w:left w:val="single" w:sz="4" w:space="0" w:color="auto"/>
              <w:bottom w:val="single" w:sz="4" w:space="0" w:color="auto"/>
              <w:right w:val="single" w:sz="4" w:space="0" w:color="auto"/>
            </w:tcBorders>
            <w:hideMark/>
          </w:tcPr>
          <w:p w:rsidR="00E65E56" w:rsidRPr="00977CB9" w:rsidRDefault="0048299B" w:rsidP="00E65E56">
            <w:pPr>
              <w:pStyle w:val="ListParagraph"/>
              <w:numPr>
                <w:ilvl w:val="0"/>
                <w:numId w:val="6"/>
              </w:numPr>
              <w:tabs>
                <w:tab w:val="left" w:pos="720"/>
              </w:tabs>
              <w:spacing w:after="0" w:line="240" w:lineRule="auto"/>
              <w:contextualSpacing w:val="0"/>
              <w:rPr>
                <w:sz w:val="16"/>
                <w:szCs w:val="16"/>
              </w:rPr>
            </w:pPr>
            <w:r w:rsidRPr="00977CB9">
              <w:rPr>
                <w:sz w:val="16"/>
                <w:szCs w:val="16"/>
              </w:rPr>
              <w:t>We will demonstrate a clear timeline for the development of Lancashire’s Local Industrial Strategy</w:t>
            </w:r>
          </w:p>
        </w:tc>
      </w:tr>
      <w:tr w:rsidR="0072245A" w:rsidTr="00DD0281">
        <w:tc>
          <w:tcPr>
            <w:tcW w:w="811" w:type="pct"/>
            <w:tcBorders>
              <w:top w:val="single" w:sz="4" w:space="0" w:color="auto"/>
              <w:left w:val="single" w:sz="4" w:space="0" w:color="auto"/>
              <w:bottom w:val="single" w:sz="4" w:space="0" w:color="auto"/>
              <w:right w:val="single" w:sz="4" w:space="0" w:color="auto"/>
            </w:tcBorders>
            <w:hideMark/>
          </w:tcPr>
          <w:p w:rsidR="00E65E56" w:rsidRPr="00977CB9" w:rsidRDefault="0048299B" w:rsidP="00E65E56">
            <w:pPr>
              <w:pStyle w:val="ListParagraph"/>
              <w:numPr>
                <w:ilvl w:val="0"/>
                <w:numId w:val="6"/>
              </w:numPr>
              <w:tabs>
                <w:tab w:val="left" w:pos="720"/>
              </w:tabs>
              <w:spacing w:after="0" w:line="240" w:lineRule="auto"/>
              <w:contextualSpacing w:val="0"/>
              <w:rPr>
                <w:sz w:val="16"/>
                <w:szCs w:val="16"/>
              </w:rPr>
            </w:pPr>
            <w:r w:rsidRPr="00977CB9">
              <w:rPr>
                <w:sz w:val="16"/>
                <w:szCs w:val="16"/>
              </w:rPr>
              <w:t>We will demonstrate a clear ambitious vision that is realistic, challenging, has wide buy-in and is grounded in evidence and analysis.</w:t>
            </w:r>
          </w:p>
        </w:tc>
      </w:tr>
      <w:tr w:rsidR="0072245A" w:rsidTr="00DD0281">
        <w:tc>
          <w:tcPr>
            <w:tcW w:w="811" w:type="pct"/>
            <w:tcBorders>
              <w:top w:val="single" w:sz="4" w:space="0" w:color="auto"/>
              <w:left w:val="single" w:sz="4" w:space="0" w:color="auto"/>
              <w:bottom w:val="single" w:sz="4" w:space="0" w:color="auto"/>
              <w:right w:val="single" w:sz="4" w:space="0" w:color="auto"/>
            </w:tcBorders>
            <w:hideMark/>
          </w:tcPr>
          <w:p w:rsidR="00E65E56" w:rsidRPr="00977CB9" w:rsidRDefault="0048299B" w:rsidP="00E65E56">
            <w:pPr>
              <w:pStyle w:val="ListParagraph"/>
              <w:numPr>
                <w:ilvl w:val="0"/>
                <w:numId w:val="6"/>
              </w:numPr>
              <w:tabs>
                <w:tab w:val="left" w:pos="720"/>
              </w:tabs>
              <w:spacing w:after="0" w:line="240" w:lineRule="auto"/>
              <w:contextualSpacing w:val="0"/>
              <w:rPr>
                <w:sz w:val="16"/>
                <w:szCs w:val="16"/>
              </w:rPr>
            </w:pPr>
            <w:r w:rsidRPr="00977CB9">
              <w:rPr>
                <w:sz w:val="16"/>
                <w:szCs w:val="16"/>
              </w:rPr>
              <w:t>We will work continuously across our boundaries to maximise economic development and growth opportunities</w:t>
            </w:r>
          </w:p>
        </w:tc>
      </w:tr>
      <w:tr w:rsidR="0072245A" w:rsidTr="00DD0281">
        <w:tc>
          <w:tcPr>
            <w:tcW w:w="811" w:type="pct"/>
            <w:tcBorders>
              <w:top w:val="single" w:sz="4" w:space="0" w:color="auto"/>
              <w:left w:val="single" w:sz="4" w:space="0" w:color="auto"/>
              <w:bottom w:val="single" w:sz="4" w:space="0" w:color="auto"/>
              <w:right w:val="single" w:sz="4" w:space="0" w:color="auto"/>
            </w:tcBorders>
            <w:hideMark/>
          </w:tcPr>
          <w:p w:rsidR="00E65E56" w:rsidRPr="00977CB9" w:rsidRDefault="0048299B" w:rsidP="00E65E56">
            <w:pPr>
              <w:pStyle w:val="ListParagraph"/>
              <w:numPr>
                <w:ilvl w:val="0"/>
                <w:numId w:val="6"/>
              </w:numPr>
              <w:tabs>
                <w:tab w:val="left" w:pos="720"/>
              </w:tabs>
              <w:spacing w:after="0" w:line="240" w:lineRule="auto"/>
              <w:contextualSpacing w:val="0"/>
              <w:rPr>
                <w:sz w:val="16"/>
                <w:szCs w:val="16"/>
              </w:rPr>
            </w:pPr>
            <w:r w:rsidRPr="00977CB9">
              <w:rPr>
                <w:sz w:val="16"/>
                <w:szCs w:val="16"/>
              </w:rPr>
              <w:t>We will produce a stakeholder engagement plan for the Local Industrial Strategy to ensure all stakeholders are appropriately engaged.</w:t>
            </w:r>
          </w:p>
        </w:tc>
      </w:tr>
      <w:tr w:rsidR="0072245A" w:rsidTr="00DD0281">
        <w:tc>
          <w:tcPr>
            <w:tcW w:w="811" w:type="pct"/>
            <w:tcBorders>
              <w:top w:val="single" w:sz="4" w:space="0" w:color="auto"/>
              <w:left w:val="single" w:sz="4" w:space="0" w:color="auto"/>
              <w:bottom w:val="single" w:sz="4" w:space="0" w:color="auto"/>
              <w:right w:val="single" w:sz="4" w:space="0" w:color="auto"/>
            </w:tcBorders>
            <w:hideMark/>
          </w:tcPr>
          <w:p w:rsidR="00E65E56" w:rsidRPr="00977CB9" w:rsidRDefault="0048299B" w:rsidP="00E65E56">
            <w:pPr>
              <w:pStyle w:val="ListParagraph"/>
              <w:numPr>
                <w:ilvl w:val="0"/>
                <w:numId w:val="6"/>
              </w:numPr>
              <w:tabs>
                <w:tab w:val="left" w:pos="720"/>
              </w:tabs>
              <w:spacing w:after="0" w:line="240" w:lineRule="auto"/>
              <w:contextualSpacing w:val="0"/>
              <w:rPr>
                <w:sz w:val="16"/>
                <w:szCs w:val="16"/>
              </w:rPr>
            </w:pPr>
            <w:r w:rsidRPr="00977CB9">
              <w:rPr>
                <w:sz w:val="16"/>
                <w:szCs w:val="16"/>
              </w:rPr>
              <w:t>We will create an Innovation Board and seek to mainstream knowledge and innovation in the economy</w:t>
            </w:r>
          </w:p>
        </w:tc>
      </w:tr>
      <w:tr w:rsidR="0072245A" w:rsidTr="00DD0281">
        <w:tc>
          <w:tcPr>
            <w:tcW w:w="811" w:type="pct"/>
            <w:tcBorders>
              <w:top w:val="single" w:sz="4" w:space="0" w:color="auto"/>
              <w:left w:val="single" w:sz="4" w:space="0" w:color="auto"/>
              <w:bottom w:val="single" w:sz="4" w:space="0" w:color="auto"/>
              <w:right w:val="single" w:sz="4" w:space="0" w:color="auto"/>
            </w:tcBorders>
            <w:hideMark/>
          </w:tcPr>
          <w:p w:rsidR="00E65E56" w:rsidRPr="00977CB9" w:rsidRDefault="0048299B" w:rsidP="00E65E56">
            <w:pPr>
              <w:pStyle w:val="ListParagraph"/>
              <w:numPr>
                <w:ilvl w:val="0"/>
                <w:numId w:val="6"/>
              </w:numPr>
              <w:tabs>
                <w:tab w:val="left" w:pos="720"/>
              </w:tabs>
              <w:spacing w:after="0" w:line="240" w:lineRule="auto"/>
              <w:contextualSpacing w:val="0"/>
              <w:rPr>
                <w:bCs/>
                <w:sz w:val="16"/>
                <w:szCs w:val="16"/>
              </w:rPr>
            </w:pPr>
            <w:r w:rsidRPr="00977CB9">
              <w:rPr>
                <w:bCs/>
                <w:sz w:val="16"/>
                <w:szCs w:val="16"/>
              </w:rPr>
              <w:t>We will step-up to more fully engage our local MPs</w:t>
            </w:r>
          </w:p>
        </w:tc>
      </w:tr>
      <w:tr w:rsidR="0072245A" w:rsidTr="00DD0281">
        <w:tc>
          <w:tcPr>
            <w:tcW w:w="811" w:type="pct"/>
            <w:tcBorders>
              <w:top w:val="single" w:sz="4" w:space="0" w:color="auto"/>
              <w:left w:val="single" w:sz="4" w:space="0" w:color="auto"/>
              <w:bottom w:val="single" w:sz="4" w:space="0" w:color="auto"/>
              <w:right w:val="single" w:sz="4" w:space="0" w:color="auto"/>
            </w:tcBorders>
            <w:hideMark/>
          </w:tcPr>
          <w:p w:rsidR="00E65E56" w:rsidRPr="00977CB9" w:rsidRDefault="0048299B" w:rsidP="00E65E56">
            <w:pPr>
              <w:pStyle w:val="ListParagraph"/>
              <w:numPr>
                <w:ilvl w:val="0"/>
                <w:numId w:val="6"/>
              </w:numPr>
              <w:tabs>
                <w:tab w:val="left" w:pos="720"/>
              </w:tabs>
              <w:spacing w:after="0" w:line="240" w:lineRule="auto"/>
              <w:contextualSpacing w:val="0"/>
              <w:rPr>
                <w:sz w:val="16"/>
                <w:szCs w:val="16"/>
              </w:rPr>
            </w:pPr>
            <w:r w:rsidRPr="00977CB9">
              <w:rPr>
                <w:sz w:val="16"/>
                <w:szCs w:val="16"/>
              </w:rPr>
              <w:t>We will work with Area Lead to develop engagement programme with LEP Senior Sponsor</w:t>
            </w:r>
          </w:p>
        </w:tc>
      </w:tr>
      <w:tr w:rsidR="0072245A" w:rsidTr="00DD0281">
        <w:tc>
          <w:tcPr>
            <w:tcW w:w="811" w:type="pct"/>
            <w:tcBorders>
              <w:top w:val="single" w:sz="4" w:space="0" w:color="auto"/>
              <w:left w:val="single" w:sz="4" w:space="0" w:color="auto"/>
              <w:bottom w:val="single" w:sz="4" w:space="0" w:color="auto"/>
              <w:right w:val="single" w:sz="4" w:space="0" w:color="auto"/>
            </w:tcBorders>
            <w:hideMark/>
          </w:tcPr>
          <w:p w:rsidR="00E65E56" w:rsidRPr="00977CB9" w:rsidRDefault="0048299B" w:rsidP="00E65E56">
            <w:pPr>
              <w:pStyle w:val="ListParagraph"/>
              <w:numPr>
                <w:ilvl w:val="0"/>
                <w:numId w:val="6"/>
              </w:numPr>
              <w:tabs>
                <w:tab w:val="left" w:pos="720"/>
              </w:tabs>
              <w:spacing w:after="0" w:line="240" w:lineRule="auto"/>
              <w:contextualSpacing w:val="0"/>
              <w:rPr>
                <w:sz w:val="16"/>
                <w:szCs w:val="16"/>
              </w:rPr>
            </w:pPr>
            <w:r w:rsidRPr="00977CB9">
              <w:rPr>
                <w:sz w:val="16"/>
                <w:szCs w:val="16"/>
              </w:rPr>
              <w:t>We will regularly review MP engagement strategy</w:t>
            </w:r>
          </w:p>
        </w:tc>
      </w:tr>
      <w:tr w:rsidR="0072245A" w:rsidTr="00DD0281">
        <w:tc>
          <w:tcPr>
            <w:tcW w:w="811" w:type="pct"/>
            <w:tcBorders>
              <w:top w:val="single" w:sz="4" w:space="0" w:color="auto"/>
              <w:left w:val="single" w:sz="4" w:space="0" w:color="auto"/>
              <w:bottom w:val="single" w:sz="4" w:space="0" w:color="auto"/>
              <w:right w:val="single" w:sz="4" w:space="0" w:color="auto"/>
            </w:tcBorders>
            <w:hideMark/>
          </w:tcPr>
          <w:p w:rsidR="00E65E56" w:rsidRPr="00977CB9" w:rsidRDefault="0048299B" w:rsidP="00E65E56">
            <w:pPr>
              <w:pStyle w:val="ListParagraph"/>
              <w:numPr>
                <w:ilvl w:val="0"/>
                <w:numId w:val="6"/>
              </w:numPr>
              <w:tabs>
                <w:tab w:val="left" w:pos="720"/>
              </w:tabs>
              <w:spacing w:after="0" w:line="240" w:lineRule="auto"/>
              <w:contextualSpacing w:val="0"/>
              <w:rPr>
                <w:sz w:val="16"/>
                <w:szCs w:val="16"/>
              </w:rPr>
            </w:pPr>
            <w:r w:rsidRPr="00977CB9">
              <w:rPr>
                <w:sz w:val="16"/>
                <w:szCs w:val="16"/>
              </w:rPr>
              <w:t>We will refine the LIS and other strategies regularly, maintain and update them, with regular inputs from stakeholders.</w:t>
            </w:r>
          </w:p>
        </w:tc>
      </w:tr>
      <w:tr w:rsidR="0072245A" w:rsidTr="00DD0281">
        <w:tc>
          <w:tcPr>
            <w:tcW w:w="811" w:type="pct"/>
            <w:tcBorders>
              <w:top w:val="single" w:sz="4" w:space="0" w:color="auto"/>
              <w:left w:val="single" w:sz="4" w:space="0" w:color="auto"/>
              <w:bottom w:val="single" w:sz="4" w:space="0" w:color="auto"/>
              <w:right w:val="single" w:sz="4" w:space="0" w:color="auto"/>
            </w:tcBorders>
            <w:hideMark/>
          </w:tcPr>
          <w:p w:rsidR="00E65E56" w:rsidRPr="00977CB9" w:rsidRDefault="0048299B" w:rsidP="00E65E56">
            <w:pPr>
              <w:pStyle w:val="ListParagraph"/>
              <w:numPr>
                <w:ilvl w:val="0"/>
                <w:numId w:val="6"/>
              </w:numPr>
              <w:tabs>
                <w:tab w:val="left" w:pos="720"/>
              </w:tabs>
              <w:spacing w:after="0" w:line="240" w:lineRule="auto"/>
              <w:contextualSpacing w:val="0"/>
              <w:rPr>
                <w:sz w:val="16"/>
                <w:szCs w:val="16"/>
              </w:rPr>
            </w:pPr>
            <w:r w:rsidRPr="00977CB9">
              <w:rPr>
                <w:sz w:val="16"/>
                <w:szCs w:val="16"/>
              </w:rPr>
              <w:t xml:space="preserve">We will demonstrate that our strategy drives all LEP investment programmes and connects fully with the programmes of others. </w:t>
            </w:r>
          </w:p>
        </w:tc>
      </w:tr>
    </w:tbl>
    <w:p w:rsidR="00386D34" w:rsidRDefault="00977CB9" w:rsidP="00E65E56">
      <w:pPr>
        <w:ind w:left="0" w:firstLine="0"/>
      </w:pPr>
    </w:p>
    <w:p w:rsidR="00AC597D" w:rsidRDefault="0048299B" w:rsidP="00977CB9">
      <w:pPr>
        <w:ind w:left="0" w:firstLine="0"/>
        <w:jc w:val="both"/>
      </w:pPr>
      <w:r>
        <w:t xml:space="preserve">It is acknowledged that this plan is not final and will inevitably evolve over time, metrics will need to be agreed to monitor performance. However, this plan sets out the principles by which the LEP will operate going forward. </w:t>
      </w:r>
    </w:p>
    <w:p w:rsidR="0048299B" w:rsidRDefault="0048299B" w:rsidP="00E65E56">
      <w:pPr>
        <w:ind w:left="0" w:firstLine="0"/>
      </w:pPr>
    </w:p>
    <w:p w:rsidR="005D0C06" w:rsidRPr="00AB6785" w:rsidRDefault="0048299B" w:rsidP="005D0C06">
      <w:pPr>
        <w:pStyle w:val="Heading5"/>
        <w:rPr>
          <w:rFonts w:ascii="Arial" w:hAnsi="Arial"/>
          <w:b/>
          <w:color w:val="auto"/>
        </w:rPr>
      </w:pPr>
      <w:r w:rsidRPr="00AB6785">
        <w:rPr>
          <w:rFonts w:ascii="Arial" w:hAnsi="Arial"/>
          <w:b/>
          <w:color w:val="auto"/>
        </w:rPr>
        <w:t>List of Background Papers</w:t>
      </w:r>
    </w:p>
    <w:p w:rsidR="005D0C06" w:rsidRDefault="00977CB9" w:rsidP="005D0C06"/>
    <w:tbl>
      <w:tblPr>
        <w:tblW w:w="0" w:type="auto"/>
        <w:tblLayout w:type="fixed"/>
        <w:tblLook w:val="0000" w:firstRow="0" w:lastRow="0" w:firstColumn="0" w:lastColumn="0" w:noHBand="0" w:noVBand="0"/>
      </w:tblPr>
      <w:tblGrid>
        <w:gridCol w:w="3510"/>
        <w:gridCol w:w="2492"/>
        <w:gridCol w:w="3178"/>
      </w:tblGrid>
      <w:tr w:rsidR="0072245A" w:rsidTr="00434CCE">
        <w:tc>
          <w:tcPr>
            <w:tcW w:w="3510" w:type="dxa"/>
          </w:tcPr>
          <w:p w:rsidR="005D0C06" w:rsidRPr="00AB6785" w:rsidRDefault="0048299B"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48299B"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48299B" w:rsidP="00434CCE">
            <w:pPr>
              <w:pStyle w:val="Heading7"/>
              <w:rPr>
                <w:rFonts w:ascii="Arial" w:hAnsi="Arial" w:cs="Arial"/>
                <w:i w:val="0"/>
                <w:color w:val="auto"/>
              </w:rPr>
            </w:pPr>
            <w:r w:rsidRPr="00AB6785">
              <w:rPr>
                <w:rFonts w:ascii="Arial" w:hAnsi="Arial" w:cs="Arial"/>
                <w:i w:val="0"/>
                <w:color w:val="auto"/>
              </w:rPr>
              <w:t>Contact/Tel</w:t>
            </w:r>
          </w:p>
        </w:tc>
      </w:tr>
      <w:tr w:rsidR="0072245A" w:rsidTr="00434CCE">
        <w:tc>
          <w:tcPr>
            <w:tcW w:w="3510" w:type="dxa"/>
          </w:tcPr>
          <w:p w:rsidR="005D0C06" w:rsidRPr="00AB6785" w:rsidRDefault="00977CB9" w:rsidP="00434CCE">
            <w:pPr>
              <w:rPr>
                <w:color w:val="auto"/>
              </w:rPr>
            </w:pPr>
          </w:p>
          <w:p w:rsidR="005D0C06" w:rsidRDefault="0048299B" w:rsidP="00434CCE">
            <w:pPr>
              <w:rPr>
                <w:color w:val="auto"/>
              </w:rPr>
            </w:pPr>
            <w:r>
              <w:rPr>
                <w:color w:val="auto"/>
              </w:rPr>
              <w:t>None</w:t>
            </w:r>
          </w:p>
          <w:p w:rsidR="005D0C06" w:rsidRPr="00AB6785" w:rsidRDefault="00977CB9" w:rsidP="00434CCE">
            <w:pPr>
              <w:rPr>
                <w:color w:val="auto"/>
              </w:rPr>
            </w:pPr>
          </w:p>
        </w:tc>
        <w:tc>
          <w:tcPr>
            <w:tcW w:w="2492" w:type="dxa"/>
          </w:tcPr>
          <w:p w:rsidR="005D0C06" w:rsidRPr="00AB6785" w:rsidRDefault="00977CB9" w:rsidP="00434CCE">
            <w:pPr>
              <w:rPr>
                <w:color w:val="auto"/>
              </w:rPr>
            </w:pPr>
          </w:p>
        </w:tc>
        <w:tc>
          <w:tcPr>
            <w:tcW w:w="3178" w:type="dxa"/>
          </w:tcPr>
          <w:p w:rsidR="005D0C06" w:rsidRPr="00AB6785" w:rsidRDefault="00977CB9" w:rsidP="00434CCE">
            <w:pPr>
              <w:rPr>
                <w:color w:val="auto"/>
              </w:rPr>
            </w:pPr>
          </w:p>
        </w:tc>
      </w:tr>
      <w:tr w:rsidR="0072245A" w:rsidTr="00434CCE">
        <w:trPr>
          <w:cantSplit/>
        </w:trPr>
        <w:tc>
          <w:tcPr>
            <w:tcW w:w="9180" w:type="dxa"/>
            <w:gridSpan w:val="3"/>
          </w:tcPr>
          <w:p w:rsidR="005D0C06" w:rsidRDefault="0048299B" w:rsidP="00977CB9">
            <w:pPr>
              <w:ind w:left="0" w:firstLine="0"/>
            </w:pPr>
            <w:r>
              <w:t xml:space="preserve">Reason for inclusion in Part II, if appropriate </w:t>
            </w:r>
          </w:p>
          <w:p w:rsidR="005D0C06" w:rsidRDefault="00977CB9" w:rsidP="00434CCE"/>
          <w:p w:rsidR="005D0C06" w:rsidRPr="00977CB9" w:rsidRDefault="0048299B" w:rsidP="00977CB9">
            <w:pPr>
              <w:rPr>
                <w:color w:val="auto"/>
              </w:rPr>
            </w:pPr>
            <w:r>
              <w:rPr>
                <w:color w:val="auto"/>
              </w:rPr>
              <w:t>N/A</w:t>
            </w:r>
          </w:p>
        </w:tc>
      </w:tr>
    </w:tbl>
    <w:p w:rsidR="005D0C06" w:rsidRDefault="00977CB9" w:rsidP="00977CB9">
      <w:pPr>
        <w:ind w:left="0" w:firstLine="0"/>
      </w:pPr>
    </w:p>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75" w:rsidRDefault="0048299B">
      <w:pPr>
        <w:spacing w:after="0" w:line="240" w:lineRule="auto"/>
      </w:pPr>
      <w:r>
        <w:separator/>
      </w:r>
    </w:p>
  </w:endnote>
  <w:endnote w:type="continuationSeparator" w:id="0">
    <w:p w:rsidR="00047F75" w:rsidRDefault="0048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75" w:rsidRDefault="0048299B">
      <w:pPr>
        <w:spacing w:after="0" w:line="240" w:lineRule="auto"/>
      </w:pPr>
      <w:r>
        <w:separator/>
      </w:r>
    </w:p>
  </w:footnote>
  <w:footnote w:type="continuationSeparator" w:id="0">
    <w:p w:rsidR="00047F75" w:rsidRDefault="00482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48299B">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2750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B64E70B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8D68E8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EE647C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7A4DCE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98C282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52C402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A18E76E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F729E1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7366AA4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37F50B3"/>
    <w:multiLevelType w:val="hybridMultilevel"/>
    <w:tmpl w:val="31F4D23E"/>
    <w:lvl w:ilvl="0" w:tplc="B04CFC00">
      <w:start w:val="1"/>
      <w:numFmt w:val="decimal"/>
      <w:lvlText w:val="%1."/>
      <w:lvlJc w:val="left"/>
      <w:pPr>
        <w:ind w:left="360" w:hanging="360"/>
      </w:pPr>
    </w:lvl>
    <w:lvl w:ilvl="1" w:tplc="1A22EA6A">
      <w:start w:val="1"/>
      <w:numFmt w:val="lowerLetter"/>
      <w:lvlText w:val="%2."/>
      <w:lvlJc w:val="left"/>
      <w:pPr>
        <w:ind w:left="1080" w:hanging="360"/>
      </w:pPr>
    </w:lvl>
    <w:lvl w:ilvl="2" w:tplc="7CBE0E52">
      <w:start w:val="1"/>
      <w:numFmt w:val="lowerRoman"/>
      <w:lvlText w:val="%3."/>
      <w:lvlJc w:val="right"/>
      <w:pPr>
        <w:ind w:left="1800" w:hanging="180"/>
      </w:pPr>
    </w:lvl>
    <w:lvl w:ilvl="3" w:tplc="A09CF01E">
      <w:start w:val="1"/>
      <w:numFmt w:val="decimal"/>
      <w:lvlText w:val="%4."/>
      <w:lvlJc w:val="left"/>
      <w:pPr>
        <w:ind w:left="2520" w:hanging="360"/>
      </w:pPr>
    </w:lvl>
    <w:lvl w:ilvl="4" w:tplc="4F0A9C44">
      <w:start w:val="1"/>
      <w:numFmt w:val="lowerLetter"/>
      <w:lvlText w:val="%5."/>
      <w:lvlJc w:val="left"/>
      <w:pPr>
        <w:ind w:left="3240" w:hanging="360"/>
      </w:pPr>
    </w:lvl>
    <w:lvl w:ilvl="5" w:tplc="7DC2DB22">
      <w:start w:val="1"/>
      <w:numFmt w:val="lowerRoman"/>
      <w:lvlText w:val="%6."/>
      <w:lvlJc w:val="right"/>
      <w:pPr>
        <w:ind w:left="3960" w:hanging="180"/>
      </w:pPr>
    </w:lvl>
    <w:lvl w:ilvl="6" w:tplc="4AF028AC">
      <w:start w:val="1"/>
      <w:numFmt w:val="decimal"/>
      <w:lvlText w:val="%7."/>
      <w:lvlJc w:val="left"/>
      <w:pPr>
        <w:ind w:left="4680" w:hanging="360"/>
      </w:pPr>
    </w:lvl>
    <w:lvl w:ilvl="7" w:tplc="9D041646">
      <w:start w:val="1"/>
      <w:numFmt w:val="lowerLetter"/>
      <w:lvlText w:val="%8."/>
      <w:lvlJc w:val="left"/>
      <w:pPr>
        <w:ind w:left="5400" w:hanging="360"/>
      </w:pPr>
    </w:lvl>
    <w:lvl w:ilvl="8" w:tplc="BDF61A14">
      <w:start w:val="1"/>
      <w:numFmt w:val="lowerRoman"/>
      <w:lvlText w:val="%9."/>
      <w:lvlJc w:val="right"/>
      <w:pPr>
        <w:ind w:left="6120" w:hanging="180"/>
      </w:pPr>
    </w:lvl>
  </w:abstractNum>
  <w:abstractNum w:abstractNumId="3" w15:restartNumberingAfterBreak="0">
    <w:nsid w:val="3DE540DA"/>
    <w:multiLevelType w:val="hybridMultilevel"/>
    <w:tmpl w:val="B9A6C5D8"/>
    <w:lvl w:ilvl="0" w:tplc="7C289646">
      <w:start w:val="1"/>
      <w:numFmt w:val="lowerRoman"/>
      <w:lvlText w:val="(%1)"/>
      <w:lvlJc w:val="left"/>
      <w:pPr>
        <w:ind w:left="720" w:hanging="360"/>
      </w:pPr>
      <w:rPr>
        <w:rFonts w:ascii="Arial" w:eastAsia="Calibri" w:hAnsi="Arial" w:cs="Arial"/>
      </w:rPr>
    </w:lvl>
    <w:lvl w:ilvl="1" w:tplc="1334FB4A" w:tentative="1">
      <w:start w:val="1"/>
      <w:numFmt w:val="lowerLetter"/>
      <w:lvlText w:val="%2."/>
      <w:lvlJc w:val="left"/>
      <w:pPr>
        <w:ind w:left="1440" w:hanging="360"/>
      </w:pPr>
    </w:lvl>
    <w:lvl w:ilvl="2" w:tplc="F0FEE18E" w:tentative="1">
      <w:start w:val="1"/>
      <w:numFmt w:val="lowerRoman"/>
      <w:lvlText w:val="%3."/>
      <w:lvlJc w:val="right"/>
      <w:pPr>
        <w:ind w:left="2160" w:hanging="180"/>
      </w:pPr>
    </w:lvl>
    <w:lvl w:ilvl="3" w:tplc="BEA6666C" w:tentative="1">
      <w:start w:val="1"/>
      <w:numFmt w:val="decimal"/>
      <w:lvlText w:val="%4."/>
      <w:lvlJc w:val="left"/>
      <w:pPr>
        <w:ind w:left="2880" w:hanging="360"/>
      </w:pPr>
    </w:lvl>
    <w:lvl w:ilvl="4" w:tplc="B93CC5C8" w:tentative="1">
      <w:start w:val="1"/>
      <w:numFmt w:val="lowerLetter"/>
      <w:lvlText w:val="%5."/>
      <w:lvlJc w:val="left"/>
      <w:pPr>
        <w:ind w:left="3600" w:hanging="360"/>
      </w:pPr>
    </w:lvl>
    <w:lvl w:ilvl="5" w:tplc="06346260" w:tentative="1">
      <w:start w:val="1"/>
      <w:numFmt w:val="lowerRoman"/>
      <w:lvlText w:val="%6."/>
      <w:lvlJc w:val="right"/>
      <w:pPr>
        <w:ind w:left="4320" w:hanging="180"/>
      </w:pPr>
    </w:lvl>
    <w:lvl w:ilvl="6" w:tplc="6EFAFA84" w:tentative="1">
      <w:start w:val="1"/>
      <w:numFmt w:val="decimal"/>
      <w:lvlText w:val="%7."/>
      <w:lvlJc w:val="left"/>
      <w:pPr>
        <w:ind w:left="5040" w:hanging="360"/>
      </w:pPr>
    </w:lvl>
    <w:lvl w:ilvl="7" w:tplc="404E4188" w:tentative="1">
      <w:start w:val="1"/>
      <w:numFmt w:val="lowerLetter"/>
      <w:lvlText w:val="%8."/>
      <w:lvlJc w:val="left"/>
      <w:pPr>
        <w:ind w:left="5760" w:hanging="360"/>
      </w:pPr>
    </w:lvl>
    <w:lvl w:ilvl="8" w:tplc="8CF4D26A" w:tentative="1">
      <w:start w:val="1"/>
      <w:numFmt w:val="lowerRoman"/>
      <w:lvlText w:val="%9."/>
      <w:lvlJc w:val="right"/>
      <w:pPr>
        <w:ind w:left="6480" w:hanging="180"/>
      </w:p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639B0905"/>
    <w:multiLevelType w:val="hybridMultilevel"/>
    <w:tmpl w:val="492C6E70"/>
    <w:lvl w:ilvl="0" w:tplc="45343300">
      <w:start w:val="1"/>
      <w:numFmt w:val="bullet"/>
      <w:lvlText w:val=""/>
      <w:lvlJc w:val="left"/>
      <w:pPr>
        <w:ind w:left="720" w:hanging="360"/>
      </w:pPr>
      <w:rPr>
        <w:rFonts w:ascii="Symbol" w:hAnsi="Symbol" w:hint="default"/>
      </w:rPr>
    </w:lvl>
    <w:lvl w:ilvl="1" w:tplc="F55A0B6C" w:tentative="1">
      <w:start w:val="1"/>
      <w:numFmt w:val="bullet"/>
      <w:lvlText w:val="o"/>
      <w:lvlJc w:val="left"/>
      <w:pPr>
        <w:ind w:left="1440" w:hanging="360"/>
      </w:pPr>
      <w:rPr>
        <w:rFonts w:ascii="Courier New" w:hAnsi="Courier New" w:cs="Courier New" w:hint="default"/>
      </w:rPr>
    </w:lvl>
    <w:lvl w:ilvl="2" w:tplc="9BFA6CE6" w:tentative="1">
      <w:start w:val="1"/>
      <w:numFmt w:val="bullet"/>
      <w:lvlText w:val=""/>
      <w:lvlJc w:val="left"/>
      <w:pPr>
        <w:ind w:left="2160" w:hanging="360"/>
      </w:pPr>
      <w:rPr>
        <w:rFonts w:ascii="Wingdings" w:hAnsi="Wingdings" w:hint="default"/>
      </w:rPr>
    </w:lvl>
    <w:lvl w:ilvl="3" w:tplc="12860A80" w:tentative="1">
      <w:start w:val="1"/>
      <w:numFmt w:val="bullet"/>
      <w:lvlText w:val=""/>
      <w:lvlJc w:val="left"/>
      <w:pPr>
        <w:ind w:left="2880" w:hanging="360"/>
      </w:pPr>
      <w:rPr>
        <w:rFonts w:ascii="Symbol" w:hAnsi="Symbol" w:hint="default"/>
      </w:rPr>
    </w:lvl>
    <w:lvl w:ilvl="4" w:tplc="2AE267AE" w:tentative="1">
      <w:start w:val="1"/>
      <w:numFmt w:val="bullet"/>
      <w:lvlText w:val="o"/>
      <w:lvlJc w:val="left"/>
      <w:pPr>
        <w:ind w:left="3600" w:hanging="360"/>
      </w:pPr>
      <w:rPr>
        <w:rFonts w:ascii="Courier New" w:hAnsi="Courier New" w:cs="Courier New" w:hint="default"/>
      </w:rPr>
    </w:lvl>
    <w:lvl w:ilvl="5" w:tplc="102CCDA2" w:tentative="1">
      <w:start w:val="1"/>
      <w:numFmt w:val="bullet"/>
      <w:lvlText w:val=""/>
      <w:lvlJc w:val="left"/>
      <w:pPr>
        <w:ind w:left="4320" w:hanging="360"/>
      </w:pPr>
      <w:rPr>
        <w:rFonts w:ascii="Wingdings" w:hAnsi="Wingdings" w:hint="default"/>
      </w:rPr>
    </w:lvl>
    <w:lvl w:ilvl="6" w:tplc="6C1C1164" w:tentative="1">
      <w:start w:val="1"/>
      <w:numFmt w:val="bullet"/>
      <w:lvlText w:val=""/>
      <w:lvlJc w:val="left"/>
      <w:pPr>
        <w:ind w:left="5040" w:hanging="360"/>
      </w:pPr>
      <w:rPr>
        <w:rFonts w:ascii="Symbol" w:hAnsi="Symbol" w:hint="default"/>
      </w:rPr>
    </w:lvl>
    <w:lvl w:ilvl="7" w:tplc="6F28CD3E" w:tentative="1">
      <w:start w:val="1"/>
      <w:numFmt w:val="bullet"/>
      <w:lvlText w:val="o"/>
      <w:lvlJc w:val="left"/>
      <w:pPr>
        <w:ind w:left="5760" w:hanging="360"/>
      </w:pPr>
      <w:rPr>
        <w:rFonts w:ascii="Courier New" w:hAnsi="Courier New" w:cs="Courier New" w:hint="default"/>
      </w:rPr>
    </w:lvl>
    <w:lvl w:ilvl="8" w:tplc="6298E4A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5A"/>
    <w:rsid w:val="00047F75"/>
    <w:rsid w:val="0048299B"/>
    <w:rsid w:val="0072245A"/>
    <w:rsid w:val="0097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AFAF"/>
  <w15:docId w15:val="{4CD5AC9D-8155-42EE-A8E9-6A1B25E7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aliases w:val="Bullet,Bullet 1,Bullet Points,Bullet Styl,Bullet Style,Colorful List - Accent 12,Dot pt,Indicator Text,L,List Paragrap,List Paragraph Char Char Char,List Paragraph1,List Paragraph2,MAIN CONTENT,No Spacing1,No Spacing11,Numbered Para 1"/>
    <w:basedOn w:val="Normal"/>
    <w:link w:val="ListParagraphChar"/>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customStyle="1" w:styleId="ListParagraphChar">
    <w:name w:val="List Paragraph Char"/>
    <w:aliases w:val="Bullet Char,Bullet 1 Char,Bullet Points Char,Bullet Styl Char,Bullet Style Char,Colorful List - Accent 12 Char,Dot pt Char,Indicator Text Char,L Char,List Paragrap Char,List Paragraph Char Char Char Char,List Paragraph1 Char"/>
    <w:link w:val="ListParagraph"/>
    <w:uiPriority w:val="34"/>
    <w:qFormat/>
    <w:locked/>
    <w:rsid w:val="00E65E56"/>
    <w:rPr>
      <w:rFonts w:ascii="Arial" w:eastAsia="Calibri" w:hAnsi="Arial" w:cs="Arial"/>
      <w:color w:val="000000"/>
      <w:sz w:val="24"/>
      <w:szCs w:val="24"/>
      <w:lang w:eastAsia="en-GB"/>
    </w:rPr>
  </w:style>
  <w:style w:type="table" w:styleId="TableGrid">
    <w:name w:val="Table Grid"/>
    <w:basedOn w:val="TableNormal"/>
    <w:uiPriority w:val="59"/>
    <w:rsid w:val="00E65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AD"/>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90E70-77DB-4B53-A95E-DA68854F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14</cp:revision>
  <dcterms:created xsi:type="dcterms:W3CDTF">2014-12-03T08:17:00Z</dcterms:created>
  <dcterms:modified xsi:type="dcterms:W3CDTF">2019-04-26T12:13:00Z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Response to the Annual Performance Review: LEP Strategy Improvement Plan</vt:lpwstr>
  </property>
  <property fmtid="{D5CDD505-2E9C-101B-9397-08002B2CF9AE}" pid="3" name="LeadOfficer">
    <vt:lpwstr>Jack James</vt:lpwstr>
  </property>
  <property fmtid="{D5CDD505-2E9C-101B-9397-08002B2CF9AE}" pid="4" name="LeadOfficerEmail">
    <vt:lpwstr>jack.james@lancashire.gov.uk</vt:lpwstr>
  </property>
  <property fmtid="{D5CDD505-2E9C-101B-9397-08002B2CF9AE}" pid="5" name="LeadOfficerTel">
    <vt:lpwstr>Tel: 01772 537603</vt:lpwstr>
  </property>
  <property fmtid="{D5CDD505-2E9C-101B-9397-08002B2CF9AE}" pid="6" name="MeetingDate">
    <vt:lpwstr>Wednesday, 1 May 2019</vt:lpwstr>
  </property>
</Properties>
</file>